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FE" w:rsidRPr="00E1579E" w:rsidRDefault="00E1579E" w:rsidP="00E1579E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579E">
        <w:rPr>
          <w:rFonts w:ascii="Times New Roman" w:hAnsi="Times New Roman" w:cs="Times New Roman"/>
          <w:b/>
          <w:i/>
          <w:sz w:val="24"/>
          <w:szCs w:val="24"/>
        </w:rPr>
        <w:t>Table 1.  Variables in financ</w:t>
      </w:r>
      <w:r w:rsidR="002F0481">
        <w:rPr>
          <w:rFonts w:ascii="Times New Roman" w:hAnsi="Times New Roman" w:cs="Times New Roman"/>
          <w:b/>
          <w:i/>
          <w:sz w:val="24"/>
          <w:szCs w:val="24"/>
        </w:rPr>
        <w:t xml:space="preserve">ial </w:t>
      </w:r>
      <w:r w:rsidRPr="00E1579E">
        <w:rPr>
          <w:rFonts w:ascii="Times New Roman" w:hAnsi="Times New Roman" w:cs="Times New Roman"/>
          <w:b/>
          <w:i/>
          <w:sz w:val="24"/>
          <w:szCs w:val="24"/>
        </w:rPr>
        <w:t>mod</w:t>
      </w:r>
      <w:r w:rsidR="00490D7A">
        <w:rPr>
          <w:rFonts w:ascii="Times New Roman" w:hAnsi="Times New Roman" w:cs="Times New Roman"/>
          <w:b/>
          <w:i/>
          <w:sz w:val="24"/>
          <w:szCs w:val="24"/>
        </w:rPr>
        <w:t>ule</w:t>
      </w:r>
    </w:p>
    <w:tbl>
      <w:tblPr>
        <w:tblStyle w:val="TableGrid"/>
        <w:tblW w:w="0" w:type="auto"/>
        <w:tblBorders>
          <w:top w:val="single" w:sz="18" w:space="0" w:color="7F7F7F" w:themeColor="text1" w:themeTint="80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6096"/>
        <w:gridCol w:w="5528"/>
      </w:tblGrid>
      <w:tr w:rsidR="00E1579E" w:rsidTr="0036203D">
        <w:tc>
          <w:tcPr>
            <w:tcW w:w="99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E1579E" w:rsidRPr="006232F3" w:rsidRDefault="006C63D7" w:rsidP="006C63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2F3">
              <w:rPr>
                <w:rFonts w:ascii="Times New Roman" w:hAnsi="Times New Roman" w:cs="Times New Roman"/>
                <w:b/>
                <w:sz w:val="20"/>
                <w:szCs w:val="20"/>
              </w:rPr>
              <w:t>Notation in paper</w:t>
            </w:r>
          </w:p>
        </w:tc>
        <w:tc>
          <w:tcPr>
            <w:tcW w:w="6096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E1579E" w:rsidRPr="006232F3" w:rsidRDefault="006C63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2F3">
              <w:rPr>
                <w:rFonts w:ascii="Times New Roman" w:hAnsi="Times New Roman" w:cs="Times New Roman"/>
                <w:b/>
                <w:sz w:val="20"/>
                <w:szCs w:val="20"/>
              </w:rPr>
              <w:t>Notation in code</w:t>
            </w:r>
          </w:p>
        </w:tc>
        <w:tc>
          <w:tcPr>
            <w:tcW w:w="5528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E1579E" w:rsidRPr="006232F3" w:rsidRDefault="006C63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2F3">
              <w:rPr>
                <w:rFonts w:ascii="Times New Roman" w:hAnsi="Times New Roman" w:cs="Times New Roman"/>
                <w:b/>
                <w:sz w:val="20"/>
                <w:szCs w:val="20"/>
              </w:rPr>
              <w:t>Definition</w:t>
            </w:r>
          </w:p>
        </w:tc>
      </w:tr>
      <w:tr w:rsidR="00D73A2F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D73A2F" w:rsidRPr="00D73A2F" w:rsidRDefault="00D73A2F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fb1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73A2F" w:rsidRPr="00D73A2F" w:rsidRDefault="00D73A2F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v_budget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D73A2F" w:rsidRPr="00D73A2F" w:rsidRDefault="00D73A2F" w:rsidP="00DF07B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Regions r’s end-year financial budget in U.S. dollars</w:t>
            </w:r>
          </w:p>
        </w:tc>
      </w:tr>
      <w:tr w:rsidR="00D73A2F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D73A2F" w:rsidRPr="00D73A2F" w:rsidRDefault="00D73A2F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z0(s,r)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73A2F" w:rsidRPr="00D73A2F" w:rsidRDefault="006232F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wqht_d(s,r),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9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D73A2F" w:rsidRPr="00D73A2F" w:rsidRDefault="006232F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Region r’s start-year ownership of foreign liabilities issued by s </w:t>
            </w:r>
          </w:p>
        </w:tc>
      </w:tr>
      <w:tr w:rsidR="006232F3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6232F3" w:rsidRPr="00D73A2F" w:rsidRDefault="006232F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6232F3" w:rsidRPr="00D73A2F" w:rsidRDefault="006232F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pcgds_l(r)</w:t>
            </w:r>
            <w:r w:rsidR="003A5DF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kb(r), r=s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6232F3" w:rsidRPr="00D73A2F" w:rsidRDefault="006232F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Value of start-year capital stock in region r</w:t>
            </w:r>
          </w:p>
        </w:tc>
      </w:tr>
      <w:tr w:rsidR="00D73A2F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D73A2F" w:rsidRPr="00D73A2F" w:rsidRDefault="00D73A2F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v(r)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73A2F" w:rsidRPr="00D73A2F" w:rsidRDefault="003A5DFC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pcgds(r) - pcgds_l(r)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D73A2F" w:rsidRPr="00D73A2F" w:rsidRDefault="006232F3" w:rsidP="00DF07B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Valuation factor applying to physical </w:t>
            </w:r>
            <w:r w:rsidR="00DF07BC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regio</w:t>
            </w:r>
            <w:r w:rsidR="0057365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D73A2F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D73A2F" w:rsidRPr="00D73A2F" w:rsidRDefault="00D73A2F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fa0(r)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73A2F" w:rsidRPr="00D73A2F" w:rsidRDefault="003A5DFC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wqht(r) 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D73A2F" w:rsidRPr="00D73A2F" w:rsidRDefault="0057365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Regions r’s start-year foreign assets</w:t>
            </w:r>
          </w:p>
        </w:tc>
      </w:tr>
      <w:tr w:rsidR="00D73A2F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D73A2F" w:rsidRPr="00D73A2F" w:rsidRDefault="0057365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73A2F" w:rsidRPr="00D73A2F">
              <w:rPr>
                <w:rFonts w:ascii="Times New Roman" w:hAnsi="Times New Roman" w:cs="Times New Roman"/>
                <w:sz w:val="20"/>
                <w:szCs w:val="20"/>
              </w:rPr>
              <w:t>ave(r)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73A2F" w:rsidRPr="00D73A2F" w:rsidRDefault="0057365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vsave(r)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D73A2F" w:rsidRPr="00D73A2F" w:rsidRDefault="0057365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Value of net saving in r</w:t>
            </w:r>
          </w:p>
        </w:tc>
      </w:tr>
      <w:tr w:rsidR="0057365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573659" w:rsidRPr="00D73A2F" w:rsidRDefault="0057365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5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9pt;height:15pt" o:ole="">
                  <v:imagedata r:id="rId6" o:title=""/>
                </v:shape>
                <o:OLEObject Type="Embed" ProgID="Equation.DSMT4" ShapeID="_x0000_i1025" DrawAspect="Content" ObjectID="_1685171374" r:id="rId7"/>
              </w:objec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573659" w:rsidRPr="00D73A2F" w:rsidRDefault="00DF07BC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A34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2360" w:dyaOrig="480">
                <v:shape id="_x0000_i1026" type="#_x0000_t75" style="width:118.1pt;height:24.2pt" o:ole="">
                  <v:imagedata r:id="rId8" o:title=""/>
                </v:shape>
                <o:OLEObject Type="Embed" ProgID="Equation.DSMT4" ShapeID="_x0000_i1026" DrawAspect="Content" ObjectID="_1685171375" r:id="rId9"/>
              </w:object>
            </w:r>
            <w:r w:rsidR="008A3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573659" w:rsidRPr="00D73A2F" w:rsidRDefault="00DF07BC" w:rsidP="00DF07B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573659">
              <w:rPr>
                <w:rFonts w:ascii="Times New Roman" w:hAnsi="Times New Roman" w:cs="Times New Roman"/>
                <w:sz w:val="20"/>
                <w:szCs w:val="20"/>
              </w:rPr>
              <w:t>’s end-year foreign liab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weighted sum across liabs in s </w:t>
            </w:r>
          </w:p>
        </w:tc>
      </w:tr>
      <w:tr w:rsidR="00DF07BC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DF07BC" w:rsidRPr="00D73A2F" w:rsidRDefault="00DF07BC" w:rsidP="00DF07B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540" w:dyaOrig="300">
                <v:shape id="_x0000_i1027" type="#_x0000_t75" style="width:27.05pt;height:15pt" o:ole="">
                  <v:imagedata r:id="rId10" o:title=""/>
                </v:shape>
                <o:OLEObject Type="Embed" ProgID="Equation.DSMT4" ShapeID="_x0000_i1027" DrawAspect="Content" ObjectID="_1685171376" r:id="rId11"/>
              </w:objec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F07BC" w:rsidRPr="00D73A2F" w:rsidRDefault="00DF07BC" w:rsidP="00DF07B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A34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2439" w:dyaOrig="480">
                <v:shape id="_x0000_i1028" type="#_x0000_t75" style="width:122.1pt;height:24.2pt" o:ole="">
                  <v:imagedata r:id="rId12" o:title=""/>
                </v:shape>
                <o:OLEObject Type="Embed" ProgID="Equation.DSMT4" ShapeID="_x0000_i1028" DrawAspect="Content" ObjectID="_1685171377" r:id="rId13"/>
              </w:objec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DF07BC" w:rsidRPr="00D73A2F" w:rsidRDefault="00DF07BC" w:rsidP="00DF07B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r’s start-year foreign liab: weighted sum across liabs in s 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DF07BC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A3429" w:rsidRPr="00D73A2F">
              <w:rPr>
                <w:rFonts w:ascii="Times New Roman" w:hAnsi="Times New Roman" w:cs="Times New Roman"/>
                <w:sz w:val="20"/>
                <w:szCs w:val="20"/>
              </w:rPr>
              <w:t>1(s,r)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ED5AC5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A3429">
              <w:rPr>
                <w:rFonts w:ascii="Times New Roman" w:hAnsi="Times New Roman" w:cs="Times New Roman"/>
                <w:sz w:val="20"/>
                <w:szCs w:val="20"/>
              </w:rPr>
              <w:t>qht1_d(s,r), r</w:t>
            </w:r>
            <w:r w:rsidR="008A3429">
              <w:rPr>
                <w:rFonts w:ascii="Times New Roman" w:hAnsi="Times New Roman" w:cs="Times New Roman"/>
                <w:sz w:val="20"/>
                <w:szCs w:val="20"/>
              </w:rPr>
              <w:sym w:font="Symbol" w:char="F0B9"/>
            </w:r>
            <w:r w:rsidR="008A342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8A3429" w:rsidP="0062419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Region r’s </w:t>
            </w:r>
            <w:r w:rsidR="0062419B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-year ownership of foreign liabilities issued by s 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wq_f1(r), r=s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8A3429" w:rsidP="0062419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Value of </w:t>
            </w:r>
            <w:r w:rsidR="0062419B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-year capital stock in region r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r(s,r)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642296" w:rsidP="0064229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rFonts w:ascii="Times New Roman" w:hAnsi="Times New Roman" w:cs="Times New Roman"/>
                <w:sz w:val="20"/>
                <w:szCs w:val="20"/>
              </w:rPr>
              <w:t>rore_s</w:t>
            </w:r>
            <w:bookmarkEnd w:id="0"/>
            <w:bookmarkEnd w:id="1"/>
            <w:r w:rsidR="0062419B">
              <w:rPr>
                <w:rFonts w:ascii="Times New Roman" w:hAnsi="Times New Roman" w:cs="Times New Roman"/>
                <w:sz w:val="20"/>
                <w:szCs w:val="20"/>
              </w:rPr>
              <w:t>(s,r)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62419B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 of return that r’s financial agent expects on assets in s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t(s,r)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62419B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ror_penalty(s,r)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9E5EA5" w:rsidP="009E5EA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Endo shift for fin. decoupling, neg. if r cuts assets held in s 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s(s,r)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704F44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v_s(s,r)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9E5EA5" w:rsidP="009E5EA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Share of agent r’s portfolio accounted for by assets managed by s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ED5AC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cr(</w:t>
            </w:r>
            <w:r w:rsidR="00ED5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ED5AC5" w:rsidP="00B86BF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v_rr(s,</w:t>
            </w:r>
            <w:r w:rsidR="00B86BF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B86BF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9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same for all </w:t>
            </w:r>
            <w:r w:rsidR="00B86BF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DB5DE9" w:rsidP="00DB5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Income per dollar of assets managed by financial agent in s</w:t>
            </w:r>
          </w:p>
        </w:tc>
      </w:tr>
      <w:tr w:rsidR="00B86BF3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B86BF3" w:rsidRPr="00D73A2F" w:rsidRDefault="00B86BF3" w:rsidP="00B86BF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fb0(s)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B86BF3" w:rsidRDefault="00B86BF3" w:rsidP="00B86BF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A34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4900" w:dyaOrig="480">
                <v:shape id="_x0000_i1029" type="#_x0000_t75" style="width:244.8pt;height:24.2pt" o:ole="">
                  <v:imagedata r:id="rId14" o:title=""/>
                </v:shape>
                <o:OLEObject Type="Embed" ProgID="Equation.DSMT4" ShapeID="_x0000_i1029" DrawAspect="Content" ObjectID="_1685171378" r:id="rId15"/>
              </w:objec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B86BF3" w:rsidRPr="00D73A2F" w:rsidRDefault="00B86BF3" w:rsidP="00B86BF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Regions r’s start-year financial budget (end of previous year)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nr(r)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B86BF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579D3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5260" w:dyaOrig="600">
                <v:shape id="_x0000_i1030" type="#_x0000_t75" style="width:263.25pt;height:29.95pt" o:ole="">
                  <v:imagedata r:id="rId16" o:title=""/>
                </v:shape>
                <o:OLEObject Type="Embed" ProgID="Equation.DSMT4" ShapeID="_x0000_i1030" DrawAspect="Content" ObjectID="_1685171379" r:id="rId17"/>
              </w:object>
            </w:r>
            <w:r w:rsidR="00DB5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0579D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Rental on physical capital in s net of depreciation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>rfa(r)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0579D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yqht(r)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0579D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Receipts for region r on its foreign assets</w:t>
            </w:r>
          </w:p>
        </w:tc>
      </w:tr>
      <w:tr w:rsidR="008A3429" w:rsidTr="0036203D">
        <w:tc>
          <w:tcPr>
            <w:tcW w:w="992" w:type="dxa"/>
            <w:tcBorders>
              <w:right w:val="single" w:sz="18" w:space="0" w:color="7F7F7F" w:themeColor="text1" w:themeTint="80"/>
            </w:tcBorders>
          </w:tcPr>
          <w:p w:rsidR="008A3429" w:rsidRPr="00D73A2F" w:rsidRDefault="008A3429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3A2F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540" w:dyaOrig="300">
                <v:shape id="_x0000_i1031" type="#_x0000_t75" style="width:27.05pt;height:15pt" o:ole="">
                  <v:imagedata r:id="rId18" o:title=""/>
                </v:shape>
                <o:OLEObject Type="Embed" ProgID="Equation.DSMT4" ShapeID="_x0000_i1031" DrawAspect="Content" ObjectID="_1685171380" r:id="rId19"/>
              </w:object>
            </w:r>
            <w:r w:rsidRPr="00D73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A3429" w:rsidRPr="00D73A2F" w:rsidRDefault="000579D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yqtf(r)</w:t>
            </w:r>
          </w:p>
        </w:tc>
        <w:tc>
          <w:tcPr>
            <w:tcW w:w="5528" w:type="dxa"/>
            <w:tcBorders>
              <w:left w:val="single" w:sz="18" w:space="0" w:color="7F7F7F" w:themeColor="text1" w:themeTint="80"/>
            </w:tcBorders>
          </w:tcPr>
          <w:p w:rsidR="008A3429" w:rsidRPr="00D73A2F" w:rsidRDefault="000579D3" w:rsidP="008A342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Payments by region r</w:t>
            </w:r>
            <w:r w:rsidR="00B86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its foreign liabilities</w:t>
            </w:r>
          </w:p>
        </w:tc>
      </w:tr>
    </w:tbl>
    <w:p w:rsidR="00E1579E" w:rsidRDefault="00E1579E"/>
    <w:p w:rsidR="002F0481" w:rsidRDefault="002F0481"/>
    <w:p w:rsidR="002F0481" w:rsidRDefault="002F0481"/>
    <w:p w:rsidR="002F0481" w:rsidRPr="00E1579E" w:rsidRDefault="002F0481" w:rsidP="002F0481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579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Table </w:t>
      </w:r>
      <w:r w:rsidR="00832CC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1579E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Equations </w:t>
      </w:r>
      <w:r w:rsidR="00807EA8">
        <w:rPr>
          <w:rFonts w:ascii="Times New Roman" w:hAnsi="Times New Roman" w:cs="Times New Roman"/>
          <w:b/>
          <w:i/>
          <w:sz w:val="24"/>
          <w:szCs w:val="24"/>
        </w:rPr>
        <w:t>i</w:t>
      </w:r>
      <w:bookmarkStart w:id="2" w:name="_GoBack"/>
      <w:bookmarkEnd w:id="2"/>
      <w:r>
        <w:rPr>
          <w:rFonts w:ascii="Times New Roman" w:hAnsi="Times New Roman" w:cs="Times New Roman"/>
          <w:b/>
          <w:i/>
          <w:sz w:val="24"/>
          <w:szCs w:val="24"/>
        </w:rPr>
        <w:t>n financial</w:t>
      </w:r>
      <w:r w:rsidRPr="00E1579E">
        <w:rPr>
          <w:rFonts w:ascii="Times New Roman" w:hAnsi="Times New Roman" w:cs="Times New Roman"/>
          <w:b/>
          <w:i/>
          <w:sz w:val="24"/>
          <w:szCs w:val="24"/>
        </w:rPr>
        <w:t xml:space="preserve"> mod</w:t>
      </w:r>
      <w:r>
        <w:rPr>
          <w:rFonts w:ascii="Times New Roman" w:hAnsi="Times New Roman" w:cs="Times New Roman"/>
          <w:b/>
          <w:i/>
          <w:sz w:val="24"/>
          <w:szCs w:val="24"/>
        </w:rPr>
        <w:t>ule</w:t>
      </w:r>
    </w:p>
    <w:tbl>
      <w:tblPr>
        <w:tblStyle w:val="TableGrid"/>
        <w:tblW w:w="0" w:type="auto"/>
        <w:tblInd w:w="-23" w:type="dxa"/>
        <w:tblBorders>
          <w:top w:val="single" w:sz="18" w:space="0" w:color="7F7F7F" w:themeColor="text1" w:themeTint="80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985"/>
        <w:gridCol w:w="5386"/>
      </w:tblGrid>
      <w:tr w:rsidR="00450791" w:rsidTr="00450791">
        <w:tc>
          <w:tcPr>
            <w:tcW w:w="1299" w:type="dxa"/>
            <w:tcBorders>
              <w:top w:val="single" w:sz="18" w:space="0" w:color="7F7F7F" w:themeColor="text1" w:themeTint="80"/>
              <w:left w:val="nil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450791" w:rsidRPr="006232F3" w:rsidRDefault="00450791" w:rsidP="002F04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Equation in paper </w:t>
            </w:r>
          </w:p>
        </w:tc>
        <w:tc>
          <w:tcPr>
            <w:tcW w:w="1985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450791" w:rsidRPr="006232F3" w:rsidRDefault="00450791" w:rsidP="0094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Equation in model </w:t>
            </w:r>
          </w:p>
        </w:tc>
        <w:tc>
          <w:tcPr>
            <w:tcW w:w="5386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450791" w:rsidRDefault="00450791" w:rsidP="0094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450791" w:rsidP="0045079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45079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E_v_budget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 use a percentage change version of (2.4) rather than (2.1)</w:t>
            </w: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(2.8a)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E_wqht1_d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(s,r) where 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9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310D65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E_whhf1a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45079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(s,s) </w:t>
            </w: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(2.9a)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310D65" w:rsidP="00310D6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E_rore_sb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310D65" w:rsidP="00310D6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 (s,s)</w:t>
            </w: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310D65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(2.10a)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310D65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642296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(s,r) where 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9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642296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(2.12a)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B41C3A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E_v_rr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5F3C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791" w:rsidTr="00450791">
        <w:tc>
          <w:tcPr>
            <w:tcW w:w="1299" w:type="dxa"/>
            <w:tcBorders>
              <w:left w:val="nil"/>
              <w:right w:val="single" w:sz="18" w:space="0" w:color="7F7F7F" w:themeColor="text1" w:themeTint="80"/>
            </w:tcBorders>
          </w:tcPr>
          <w:p w:rsidR="00450791" w:rsidRPr="00D73A2F" w:rsidRDefault="00832CCE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(2.13a)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450791" w:rsidRPr="00D73A2F" w:rsidRDefault="00832CCE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E_yqht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450791" w:rsidRPr="00D73A2F" w:rsidRDefault="00450791" w:rsidP="00941CF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CCE" w:rsidTr="00450791">
        <w:tc>
          <w:tcPr>
            <w:tcW w:w="1299" w:type="dxa"/>
            <w:tcBorders>
              <w:left w:val="nil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832CCE" w:rsidRPr="00D73A2F" w:rsidRDefault="00832CCE" w:rsidP="00832CC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(2.14a)</w:t>
            </w:r>
          </w:p>
        </w:tc>
        <w:tc>
          <w:tcPr>
            <w:tcW w:w="1985" w:type="dxa"/>
            <w:tcBorders>
              <w:left w:val="single" w:sz="18" w:space="0" w:color="7F7F7F" w:themeColor="text1" w:themeTint="80"/>
            </w:tcBorders>
          </w:tcPr>
          <w:p w:rsidR="00832CCE" w:rsidRPr="00D73A2F" w:rsidRDefault="00832CCE" w:rsidP="00832CC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E_yqtf</w:t>
            </w:r>
          </w:p>
        </w:tc>
        <w:tc>
          <w:tcPr>
            <w:tcW w:w="5386" w:type="dxa"/>
            <w:tcBorders>
              <w:left w:val="single" w:sz="18" w:space="0" w:color="7F7F7F" w:themeColor="text1" w:themeTint="80"/>
            </w:tcBorders>
          </w:tcPr>
          <w:p w:rsidR="00832CCE" w:rsidRPr="00D73A2F" w:rsidRDefault="00832CCE" w:rsidP="00832CC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70C" w:rsidRDefault="0072770C" w:rsidP="002F0481"/>
    <w:p w:rsidR="002F0481" w:rsidRDefault="00807EA8" w:rsidP="00807EA8">
      <w:pPr>
        <w:spacing w:after="0"/>
        <w:jc w:val="center"/>
      </w:pPr>
      <w:r w:rsidRPr="00E1579E">
        <w:rPr>
          <w:rFonts w:ascii="Times New Roman" w:hAnsi="Times New Roman" w:cs="Times New Roman"/>
          <w:b/>
          <w:i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1579E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%  deviation in variables presented in figures and tables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117"/>
        <w:gridCol w:w="8930"/>
      </w:tblGrid>
      <w:tr w:rsidR="0072770C" w:rsidTr="0072770C">
        <w:tc>
          <w:tcPr>
            <w:tcW w:w="200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72770C" w:rsidRDefault="0072770C" w:rsidP="002F0481">
            <w:r>
              <w:t>Tables/figure</w:t>
            </w:r>
          </w:p>
        </w:tc>
        <w:tc>
          <w:tcPr>
            <w:tcW w:w="1117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72770C" w:rsidRDefault="0072770C" w:rsidP="002F0481">
            <w:r>
              <w:t>Variables</w:t>
            </w:r>
          </w:p>
        </w:tc>
        <w:tc>
          <w:tcPr>
            <w:tcW w:w="8930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72770C" w:rsidRDefault="0072770C" w:rsidP="002F0481">
            <w:r>
              <w:t>Description</w:t>
            </w:r>
          </w:p>
        </w:tc>
      </w:tr>
      <w:tr w:rsidR="0072770C" w:rsidTr="0072770C">
        <w:tc>
          <w:tcPr>
            <w:tcW w:w="2002" w:type="dxa"/>
            <w:tcBorders>
              <w:top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72770C" w:rsidRDefault="0072770C" w:rsidP="0072770C">
            <w:r>
              <w:t>Table 3</w:t>
            </w:r>
          </w:p>
        </w:tc>
        <w:tc>
          <w:tcPr>
            <w:tcW w:w="1117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</w:tcPr>
          <w:p w:rsidR="0072770C" w:rsidRDefault="0072770C" w:rsidP="0072770C">
            <w:r>
              <w:t xml:space="preserve">v_a1ag3 </w:t>
            </w:r>
          </w:p>
        </w:tc>
        <w:tc>
          <w:tcPr>
            <w:tcW w:w="8930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</w:tcPr>
          <w:p w:rsidR="0072770C" w:rsidRDefault="0072770C" w:rsidP="002F0481">
            <w:r>
              <w:t xml:space="preserve">values of </w:t>
            </w:r>
            <w:r>
              <w:t xml:space="preserve">end-year </w:t>
            </w:r>
            <w:r>
              <w:t>assets/liabilities (non diagonal) and capital (diagonal)</w:t>
            </w:r>
          </w:p>
        </w:tc>
      </w:tr>
      <w:tr w:rsidR="0072770C" w:rsidTr="0072770C">
        <w:tc>
          <w:tcPr>
            <w:tcW w:w="2002" w:type="dxa"/>
            <w:tcBorders>
              <w:right w:val="single" w:sz="18" w:space="0" w:color="7F7F7F" w:themeColor="text1" w:themeTint="80"/>
            </w:tcBorders>
          </w:tcPr>
          <w:p w:rsidR="0072770C" w:rsidRDefault="0072770C" w:rsidP="002F0481"/>
        </w:tc>
        <w:tc>
          <w:tcPr>
            <w:tcW w:w="1117" w:type="dxa"/>
            <w:tcBorders>
              <w:left w:val="single" w:sz="18" w:space="0" w:color="7F7F7F" w:themeColor="text1" w:themeTint="80"/>
            </w:tcBorders>
          </w:tcPr>
          <w:p w:rsidR="0072770C" w:rsidRDefault="0072770C" w:rsidP="002F0481">
            <w:r>
              <w:t>wqh13</w:t>
            </w:r>
          </w:p>
        </w:tc>
        <w:tc>
          <w:tcPr>
            <w:tcW w:w="8930" w:type="dxa"/>
            <w:tcBorders>
              <w:left w:val="single" w:sz="18" w:space="0" w:color="7F7F7F" w:themeColor="text1" w:themeTint="80"/>
            </w:tcBorders>
          </w:tcPr>
          <w:p w:rsidR="0072770C" w:rsidRDefault="0072770C" w:rsidP="002F0481">
            <w:r>
              <w:t>end-year wealth</w:t>
            </w:r>
          </w:p>
        </w:tc>
      </w:tr>
      <w:tr w:rsidR="0072770C" w:rsidTr="0072770C">
        <w:tc>
          <w:tcPr>
            <w:tcW w:w="2002" w:type="dxa"/>
            <w:tcBorders>
              <w:right w:val="single" w:sz="18" w:space="0" w:color="7F7F7F" w:themeColor="text1" w:themeTint="80"/>
            </w:tcBorders>
          </w:tcPr>
          <w:p w:rsidR="0072770C" w:rsidRDefault="0072770C" w:rsidP="00807EA8">
            <w:r>
              <w:t>Figure</w:t>
            </w:r>
            <w:r w:rsidR="00807EA8">
              <w:t>s</w:t>
            </w:r>
            <w:r>
              <w:t xml:space="preserve"> 1</w:t>
            </w:r>
            <w:r w:rsidR="00807EA8">
              <w:t>, 2, 3 &amp; 4</w:t>
            </w:r>
          </w:p>
        </w:tc>
        <w:tc>
          <w:tcPr>
            <w:tcW w:w="1117" w:type="dxa"/>
            <w:tcBorders>
              <w:left w:val="single" w:sz="18" w:space="0" w:color="7F7F7F" w:themeColor="text1" w:themeTint="80"/>
            </w:tcBorders>
          </w:tcPr>
          <w:p w:rsidR="0072770C" w:rsidRDefault="0072770C" w:rsidP="0072770C">
            <w:r>
              <w:t>qgdp3</w:t>
            </w:r>
          </w:p>
        </w:tc>
        <w:tc>
          <w:tcPr>
            <w:tcW w:w="8930" w:type="dxa"/>
            <w:tcBorders>
              <w:left w:val="single" w:sz="18" w:space="0" w:color="7F7F7F" w:themeColor="text1" w:themeTint="80"/>
            </w:tcBorders>
          </w:tcPr>
          <w:p w:rsidR="0072770C" w:rsidRDefault="00807EA8" w:rsidP="00807EA8">
            <w:r>
              <w:t>GDP</w:t>
            </w:r>
          </w:p>
        </w:tc>
      </w:tr>
      <w:tr w:rsidR="0072770C" w:rsidTr="0072770C">
        <w:tc>
          <w:tcPr>
            <w:tcW w:w="2002" w:type="dxa"/>
            <w:tcBorders>
              <w:right w:val="single" w:sz="18" w:space="0" w:color="7F7F7F" w:themeColor="text1" w:themeTint="80"/>
            </w:tcBorders>
          </w:tcPr>
          <w:p w:rsidR="0072770C" w:rsidRDefault="0072770C" w:rsidP="0072770C"/>
        </w:tc>
        <w:tc>
          <w:tcPr>
            <w:tcW w:w="1117" w:type="dxa"/>
            <w:tcBorders>
              <w:left w:val="single" w:sz="18" w:space="0" w:color="7F7F7F" w:themeColor="text1" w:themeTint="80"/>
            </w:tcBorders>
          </w:tcPr>
          <w:p w:rsidR="0072770C" w:rsidRDefault="0072770C" w:rsidP="0072770C">
            <w:r>
              <w:t>qlab3</w:t>
            </w:r>
          </w:p>
        </w:tc>
        <w:tc>
          <w:tcPr>
            <w:tcW w:w="8930" w:type="dxa"/>
            <w:tcBorders>
              <w:left w:val="single" w:sz="18" w:space="0" w:color="7F7F7F" w:themeColor="text1" w:themeTint="80"/>
            </w:tcBorders>
          </w:tcPr>
          <w:p w:rsidR="0072770C" w:rsidRDefault="0072770C" w:rsidP="00807EA8">
            <w:r>
              <w:t>labour input</w:t>
            </w:r>
          </w:p>
        </w:tc>
      </w:tr>
      <w:tr w:rsidR="0072770C" w:rsidTr="00807EA8">
        <w:tc>
          <w:tcPr>
            <w:tcW w:w="2002" w:type="dxa"/>
            <w:tcBorders>
              <w:right w:val="single" w:sz="18" w:space="0" w:color="7F7F7F" w:themeColor="text1" w:themeTint="80"/>
            </w:tcBorders>
          </w:tcPr>
          <w:p w:rsidR="0072770C" w:rsidRDefault="0072770C" w:rsidP="0072770C"/>
        </w:tc>
        <w:tc>
          <w:tcPr>
            <w:tcW w:w="1117" w:type="dxa"/>
            <w:tcBorders>
              <w:left w:val="single" w:sz="18" w:space="0" w:color="7F7F7F" w:themeColor="text1" w:themeTint="80"/>
            </w:tcBorders>
          </w:tcPr>
          <w:p w:rsidR="0072770C" w:rsidRDefault="0072770C" w:rsidP="0072770C">
            <w:r>
              <w:t>kb3</w:t>
            </w:r>
          </w:p>
        </w:tc>
        <w:tc>
          <w:tcPr>
            <w:tcW w:w="8930" w:type="dxa"/>
            <w:tcBorders>
              <w:left w:val="single" w:sz="18" w:space="0" w:color="7F7F7F" w:themeColor="text1" w:themeTint="80"/>
            </w:tcBorders>
          </w:tcPr>
          <w:p w:rsidR="0072770C" w:rsidRDefault="0072770C" w:rsidP="00807EA8">
            <w:r>
              <w:t xml:space="preserve">capital </w:t>
            </w:r>
            <w:r>
              <w:t>input</w:t>
            </w:r>
          </w:p>
        </w:tc>
      </w:tr>
      <w:tr w:rsidR="0072770C" w:rsidTr="00807EA8">
        <w:tc>
          <w:tcPr>
            <w:tcW w:w="2002" w:type="dxa"/>
            <w:tcBorders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72770C" w:rsidRDefault="0072770C" w:rsidP="00807EA8">
            <w:r>
              <w:t>Figure</w:t>
            </w:r>
            <w:r w:rsidR="00807EA8">
              <w:t>s</w:t>
            </w:r>
            <w:r>
              <w:t xml:space="preserve"> </w:t>
            </w:r>
            <w:r w:rsidR="00807EA8">
              <w:t>5 &amp;6</w:t>
            </w:r>
          </w:p>
        </w:tc>
        <w:tc>
          <w:tcPr>
            <w:tcW w:w="1117" w:type="dxa"/>
            <w:tcBorders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72770C" w:rsidRDefault="0072770C" w:rsidP="0072770C">
            <w:r>
              <w:t>qgdp3</w:t>
            </w:r>
          </w:p>
        </w:tc>
        <w:tc>
          <w:tcPr>
            <w:tcW w:w="8930" w:type="dxa"/>
            <w:tcBorders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72770C" w:rsidRDefault="00807EA8" w:rsidP="00807EA8">
            <w:r>
              <w:t>GDP</w:t>
            </w:r>
          </w:p>
        </w:tc>
      </w:tr>
    </w:tbl>
    <w:p w:rsidR="00234EAC" w:rsidRDefault="00234EAC" w:rsidP="002F0481"/>
    <w:p w:rsidR="00E2605A" w:rsidRDefault="00E2605A">
      <w:r>
        <w:br w:type="page"/>
      </w:r>
    </w:p>
    <w:p w:rsidR="00234EAC" w:rsidRDefault="00234EAC"/>
    <w:sectPr w:rsidR="00234EAC" w:rsidSect="000579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CB" w:rsidRDefault="002E23CB" w:rsidP="00E1579E">
      <w:pPr>
        <w:spacing w:after="0" w:line="240" w:lineRule="auto"/>
      </w:pPr>
      <w:r>
        <w:separator/>
      </w:r>
    </w:p>
  </w:endnote>
  <w:endnote w:type="continuationSeparator" w:id="0">
    <w:p w:rsidR="002E23CB" w:rsidRDefault="002E23CB" w:rsidP="00E1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CB" w:rsidRDefault="002E23CB" w:rsidP="00E1579E">
      <w:pPr>
        <w:spacing w:after="0" w:line="240" w:lineRule="auto"/>
      </w:pPr>
      <w:r>
        <w:separator/>
      </w:r>
    </w:p>
  </w:footnote>
  <w:footnote w:type="continuationSeparator" w:id="0">
    <w:p w:rsidR="002E23CB" w:rsidRDefault="002E23CB" w:rsidP="00E15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9E"/>
    <w:rsid w:val="000579D3"/>
    <w:rsid w:val="00157D1E"/>
    <w:rsid w:val="001A73A0"/>
    <w:rsid w:val="001C6F57"/>
    <w:rsid w:val="001C753F"/>
    <w:rsid w:val="00234EAC"/>
    <w:rsid w:val="002E23CB"/>
    <w:rsid w:val="002F0481"/>
    <w:rsid w:val="00310D65"/>
    <w:rsid w:val="0036203D"/>
    <w:rsid w:val="003A5DFC"/>
    <w:rsid w:val="00450791"/>
    <w:rsid w:val="00490D7A"/>
    <w:rsid w:val="00573659"/>
    <w:rsid w:val="005A4DFB"/>
    <w:rsid w:val="005F3C99"/>
    <w:rsid w:val="006232F3"/>
    <w:rsid w:val="0062419B"/>
    <w:rsid w:val="00642296"/>
    <w:rsid w:val="00673FF3"/>
    <w:rsid w:val="006B4E40"/>
    <w:rsid w:val="006C63D7"/>
    <w:rsid w:val="00704F44"/>
    <w:rsid w:val="0072770C"/>
    <w:rsid w:val="00807EA8"/>
    <w:rsid w:val="00832CCE"/>
    <w:rsid w:val="008A3429"/>
    <w:rsid w:val="009A3386"/>
    <w:rsid w:val="009E5EA5"/>
    <w:rsid w:val="00B41C3A"/>
    <w:rsid w:val="00B86BF3"/>
    <w:rsid w:val="00BC5BA5"/>
    <w:rsid w:val="00C36A4E"/>
    <w:rsid w:val="00D55224"/>
    <w:rsid w:val="00D73A2F"/>
    <w:rsid w:val="00DB5DE9"/>
    <w:rsid w:val="00DF07BC"/>
    <w:rsid w:val="00E1579E"/>
    <w:rsid w:val="00E2605A"/>
    <w:rsid w:val="00E364FE"/>
    <w:rsid w:val="00ED5AC5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A4A70"/>
  <w15:chartTrackingRefBased/>
  <w15:docId w15:val="{961BF8A1-3331-4DB9-8316-F5313345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Dixon</dc:creator>
  <cp:keywords/>
  <dc:description/>
  <cp:lastModifiedBy>Peter Dixon</cp:lastModifiedBy>
  <cp:revision>2</cp:revision>
  <cp:lastPrinted>2021-06-14T00:16:00Z</cp:lastPrinted>
  <dcterms:created xsi:type="dcterms:W3CDTF">2021-06-14T00:20:00Z</dcterms:created>
  <dcterms:modified xsi:type="dcterms:W3CDTF">2021-06-14T00:20:00Z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2021-06-10T05:19:37Z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d23967c7-c2d7-41a6-8332-1a4f8af57671</vt:lpwstr>
  </property>
  <property fmtid="{D5CDD505-2E9C-101B-9397-08002B2CF9AE}" pid="8" name="MSIP_Label_d7dc88d9-fa17-47eb-a208-3e66f59d50e5_ContentBits">
    <vt:lpwstr>0</vt:lpwstr>
  </property>
  <property fmtid="{D5CDD505-2E9C-101B-9397-08002B2CF9AE}" pid="9" name="MTWinEqns">
    <vt:bool>true</vt:bool>
  </property>
</Properties>
</file>